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47E5ECAE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0A3DA7C3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446E77CB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50B5522B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3C09D4E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C77F60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72C25B5B" w:rsidR="00FA62AD" w:rsidRDefault="00F80E20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196161C1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4956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95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74B2F63" w14:textId="77777777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REHABILITATION DU BATIMENT 18 DU SIEGE DE LA CCI NCA</w:t>
                            </w:r>
                          </w:p>
                          <w:p w14:paraId="0A65A0CA" w14:textId="71B02D88" w:rsidR="004E48F0" w:rsidRDefault="00F72A6D" w:rsidP="004E48F0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RELANCE DU LOT 6 ASCENSEUR</w:t>
                            </w:r>
                          </w:p>
                          <w:p w14:paraId="77D62538" w14:textId="77777777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D5ECC41" w14:textId="5B9837FE" w:rsidR="004E48F0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</w:t>
                            </w:r>
                            <w:r w:rsidR="00F72A6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2026</w:t>
                            </w:r>
                            <w:r w:rsidRPr="002C3C89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/10/TX/</w:t>
                            </w:r>
                            <w:r w:rsidR="00F72A6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01</w:t>
                            </w:r>
                            <w:r w:rsidRPr="002C3C89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/</w:t>
                            </w:r>
                            <w:r w:rsidR="00F72A6D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004</w:t>
                            </w:r>
                          </w:p>
                          <w:p w14:paraId="222AA86C" w14:textId="77777777" w:rsidR="00F80E20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B8C4DB0" w14:textId="77777777" w:rsidR="00F80E20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5EFD673" w14:textId="77777777" w:rsidR="00F80E20" w:rsidRPr="00296C97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D589A83" w14:textId="4D66A37E" w:rsidR="00FA62AD" w:rsidRPr="00F42785" w:rsidRDefault="00F80E20" w:rsidP="00F80E20">
                            <w:pPr>
                              <w:jc w:val="center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COMMUN A TOUS LES LOTS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pt;margin-top:7.15pt;width:315pt;height:27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274B2F63" w14:textId="77777777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REHABILITATION DU BATIMENT 18 DU SIEGE DE LA CCI NCA</w:t>
                      </w:r>
                    </w:p>
                    <w:p w14:paraId="0A65A0CA" w14:textId="71B02D88" w:rsidR="004E48F0" w:rsidRDefault="00F72A6D" w:rsidP="004E48F0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RELANCE DU LOT 6 ASCENSEUR</w:t>
                      </w:r>
                    </w:p>
                    <w:p w14:paraId="77D62538" w14:textId="77777777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D5ECC41" w14:textId="5B9837FE" w:rsidR="004E48F0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</w:t>
                      </w:r>
                      <w:r w:rsidR="00F72A6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2026</w:t>
                      </w:r>
                      <w:r w:rsidRPr="002C3C89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/10/TX/</w:t>
                      </w:r>
                      <w:r w:rsidR="00F72A6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01</w:t>
                      </w:r>
                      <w:r w:rsidRPr="002C3C89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/</w:t>
                      </w:r>
                      <w:r w:rsidR="00F72A6D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004</w:t>
                      </w:r>
                    </w:p>
                    <w:p w14:paraId="222AA86C" w14:textId="77777777" w:rsidR="00F80E20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B8C4DB0" w14:textId="77777777" w:rsidR="00F80E20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5EFD673" w14:textId="77777777" w:rsidR="00F80E20" w:rsidRPr="00296C97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D589A83" w14:textId="4D66A37E" w:rsidR="00FA62AD" w:rsidRPr="00F42785" w:rsidRDefault="00F80E20" w:rsidP="00F80E20">
                      <w:pPr>
                        <w:jc w:val="center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COMMUN A TOUS LES LOTS</w:t>
                      </w: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870A14B" w14:textId="77777777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Marché à procédure adaptée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2827B054" w14:textId="77777777" w:rsidR="004E48F0" w:rsidRDefault="00FA62AD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 w:rsidR="004E48F0">
                              <w:rPr>
                                <w:rFonts w:ascii="Fira Sans" w:hAnsi="Fira Sans"/>
                              </w:rPr>
                              <w:t xml:space="preserve">CCI NCA </w:t>
                            </w:r>
                          </w:p>
                          <w:p w14:paraId="15A45CC3" w14:textId="77777777" w:rsidR="004E48F0" w:rsidRDefault="004E48F0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20 Boulevard Carabacel</w:t>
                            </w:r>
                          </w:p>
                          <w:p w14:paraId="5D875AF0" w14:textId="77777777" w:rsidR="004E48F0" w:rsidRPr="00096ABB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76D5C8C1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283863C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870A14B" w14:textId="77777777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Marché à procédure adaptée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2827B054" w14:textId="77777777" w:rsidR="004E48F0" w:rsidRDefault="00FA62AD" w:rsidP="004E48F0">
                      <w:pPr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 w:rsidR="004E48F0">
                        <w:rPr>
                          <w:rFonts w:ascii="Fira Sans" w:hAnsi="Fira Sans"/>
                        </w:rPr>
                        <w:t xml:space="preserve">CCI NCA </w:t>
                      </w:r>
                    </w:p>
                    <w:p w14:paraId="15A45CC3" w14:textId="77777777" w:rsidR="004E48F0" w:rsidRDefault="004E48F0" w:rsidP="004E48F0">
                      <w:pPr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20 Boulevard Carabacel</w:t>
                      </w:r>
                    </w:p>
                    <w:p w14:paraId="5D875AF0" w14:textId="77777777" w:rsidR="004E48F0" w:rsidRPr="00096ABB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76D5C8C1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283863C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644C3018" w14:textId="64EE65E6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2DA905BB" w:rsidR="00FA62AD" w:rsidRDefault="00FA62AD"/>
    <w:p w14:paraId="33732D18" w14:textId="67D99F95" w:rsidR="00FA62AD" w:rsidRDefault="00FA62AD"/>
    <w:p w14:paraId="4FE1E4F0" w14:textId="5564C555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2AD44E60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2C3204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563E603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38651C5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11D96F0E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22111106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1377114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4193A5CA" w:rsidR="00FA62AD" w:rsidRDefault="00AA1CD3" w:rsidP="003B4BAB">
      <w:pPr>
        <w:pStyle w:val="Paragraphedeliste"/>
        <w:ind w:left="840"/>
        <w:jc w:val="center"/>
        <w:rPr>
          <w:noProof/>
        </w:rPr>
      </w:pPr>
      <w:r w:rsidRPr="00AA1CD3">
        <w:rPr>
          <w:rFonts w:ascii="Fira Sans" w:hAnsi="Fira San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1047012" wp14:editId="10F00124">
                <wp:simplePos x="0" y="0"/>
                <wp:positionH relativeFrom="margin">
                  <wp:align>right</wp:align>
                </wp:positionH>
                <wp:positionV relativeFrom="paragraph">
                  <wp:posOffset>313055</wp:posOffset>
                </wp:positionV>
                <wp:extent cx="6096000" cy="21336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32DF2" w14:textId="262E6EDC" w:rsidR="00AA1CD3" w:rsidRDefault="00AA1CD3"/>
                          <w:tbl>
                            <w:tblPr>
                              <w:tblW w:w="90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86"/>
                              <w:gridCol w:w="5387"/>
                            </w:tblGrid>
                            <w:tr w:rsidR="00AA1CD3" w:rsidRPr="008471B2" w14:paraId="27892DC3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868597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Intitulé et numéro du lot concerné : 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BFC22F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2D536128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AD5D84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Nom et coordonnées de l’entreprise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E97C54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1359CECA" w14:textId="77777777" w:rsidTr="00CB5DF9">
                              <w:trPr>
                                <w:cantSplit/>
                                <w:trHeight w:val="1490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2C30FAC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Nom et coordonnées de la personne pouvant être contactée chez le candidat </w:t>
                                  </w:r>
                                </w:p>
                                <w:p w14:paraId="403D3903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Téléphone et Adresse mail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7C107ED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7D503A" w14:textId="33B0F186" w:rsidR="00AA1CD3" w:rsidRDefault="00AA1C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470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left:0;text-align:left;margin-left:428.8pt;margin-top:24.65pt;width:480pt;height:16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">
                <v:textbox>
                  <w:txbxContent>
                    <w:p w14:paraId="46832DF2" w14:textId="262E6EDC" w:rsidR="00AA1CD3" w:rsidRDefault="00AA1CD3"/>
                    <w:tbl>
                      <w:tblPr>
                        <w:tblW w:w="90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86"/>
                        <w:gridCol w:w="5387"/>
                      </w:tblGrid>
                      <w:tr w:rsidR="00AA1CD3" w:rsidRPr="008471B2" w14:paraId="27892DC3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868597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Intitulé et numéro du lot concerné : 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BFC22F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2D536128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AD5D84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Nom et coordonnées de l’entreprise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E97C54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1359CECA" w14:textId="77777777" w:rsidTr="00CB5DF9">
                        <w:trPr>
                          <w:cantSplit/>
                          <w:trHeight w:val="1490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2C30FAC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Nom et coordonnées de la personne pouvant être contactée chez le candidat </w:t>
                            </w:r>
                          </w:p>
                          <w:p w14:paraId="403D3903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Téléphone et Adresse mail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left w:val="single" w:sz="4" w:space="0" w:color="auto"/>
                            </w:tcBorders>
                          </w:tcPr>
                          <w:p w14:paraId="07C107ED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</w:tbl>
                    <w:p w14:paraId="317D503A" w14:textId="33B0F186" w:rsidR="00AA1CD3" w:rsidRDefault="00AA1CD3"/>
                  </w:txbxContent>
                </v:textbox>
                <w10:wrap type="square" anchorx="margin"/>
              </v:shape>
            </w:pict>
          </mc:Fallback>
        </mc:AlternateContent>
      </w:r>
    </w:p>
    <w:p w14:paraId="1E5D48DA" w14:textId="58E76ED4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lastRenderedPageBreak/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44AA0E27" w14:textId="195A115E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>CMT</w:t>
      </w:r>
      <w:r w:rsidRPr="008471B2">
        <w:rPr>
          <w:rFonts w:ascii="Palatino Linotype" w:hAnsi="Palatino Linotype" w:cstheme="minorHAnsi"/>
        </w:rPr>
        <w:t xml:space="preserve">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36B9D740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0712D2">
        <w:rPr>
          <w:rFonts w:ascii="Palatino Linotype" w:hAnsi="Palatino Linotype" w:cstheme="minorHAnsi"/>
          <w:i/>
          <w:iCs/>
          <w:color w:val="1F3864" w:themeColor="accent1" w:themeShade="80"/>
        </w:rPr>
        <w:t>9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4F0B8FBD" w:rsidR="00CE2BB5" w:rsidRPr="00AA1CD3" w:rsidRDefault="00664B03" w:rsidP="00664B03">
      <w:pPr>
        <w:ind w:left="1416" w:firstLine="708"/>
        <w:jc w:val="center"/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6742E5"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highlight w:val="yellow"/>
          <w:u w:val="single"/>
        </w:rPr>
        <w:t>Le mémoire technique est limité à 15 pages (suivant le cadre ci-dessous) + annexes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3DD87C32" w14:textId="000DABE8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4E48F0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Technique, notée sur 100 points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, pondéré à 40%</w:t>
      </w:r>
    </w:p>
    <w:bookmarkEnd w:id="0"/>
    <w:bookmarkEnd w:id="1"/>
    <w:p w14:paraId="7574B173" w14:textId="1B425C3E" w:rsidR="00FF6848" w:rsidRPr="008471B2" w:rsidRDefault="00FF6848" w:rsidP="0015073D">
      <w:pPr>
        <w:rPr>
          <w:rFonts w:ascii="Palatino Linotype" w:hAnsi="Palatino Linotype" w:cs="Arial"/>
          <w:sz w:val="24"/>
          <w:szCs w:val="24"/>
        </w:rPr>
      </w:pPr>
    </w:p>
    <w:p w14:paraId="2AA86EB1" w14:textId="01A4D760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Méthodologie d’exécution sur 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13E0760C" w14:textId="77777777" w:rsidR="000712D2" w:rsidRPr="006B748C" w:rsidRDefault="000712D2" w:rsidP="000712D2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251D6E8C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32E8C11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BC035A6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D71A77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1F1622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A0D418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E62A05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79909FB8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91B886" w14:textId="5DC1D31C" w:rsidR="00C329E7" w:rsidRDefault="00C329E7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934753" w14:textId="77777777" w:rsidR="000712D2" w:rsidRDefault="000712D2" w:rsidP="00155549">
      <w:pPr>
        <w:spacing w:after="200" w:line="276" w:lineRule="auto"/>
        <w:ind w:left="705"/>
        <w:jc w:val="both"/>
        <w:rPr>
          <w:rFonts w:cstheme="minorHAnsi"/>
        </w:rPr>
      </w:pP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2E9CCC9C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3AF83956" w14:textId="5DC4EDBB" w:rsidR="001F4FDE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Qualité des moyens humains et matériels sur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16A781C1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6CA7F3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C88D935" w14:textId="0D332E53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C329E7"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5F9CF628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5CD1FCFB" w14:textId="787AECAD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SOGED / SOPAQ sur 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7EE307D1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0061D3BE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F903620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0663DC00" w14:textId="63E43BD5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11D580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13B2DF" wp14:editId="09C1E989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999006772" name="Rectangle : coins arrondis 999006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940C4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2067D8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2E0AE4E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3B2DF" id="Rectangle : coins arrondis 999006772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340940C4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2067D8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2E0AE4E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385DBA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3707453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C2B6021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99C7836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BAA7240" w14:textId="19786BC8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Planning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sur 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64EDD0F9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731481E7" w14:textId="6DB60558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734DD8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9D4C9D5" w14:textId="3BCB8883" w:rsidR="000712D2" w:rsidRPr="00F80E20" w:rsidRDefault="000712D2" w:rsidP="00F80E20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6B365D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776FD4" wp14:editId="1509DD67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720092482" name="Rectangle : coins arrondis 1720092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8DC0C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0D8EA9CE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514F79D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776FD4" id="Rectangle : coins arrondis 1720092482" o:spid="_x0000_s1033" style="position:absolute;margin-left:48.3pt;margin-top:8.15pt;width:382.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WX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6Mb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" fillcolor="white [3201]" strokecolor="#4472c4 [3204]" strokeweight="1pt">
                <v:stroke joinstyle="miter"/>
                <v:textbox>
                  <w:txbxContent>
                    <w:p w14:paraId="6F28DC0C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0D8EA9CE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514F79D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114F46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F1B00D4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59FB9B08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351EE7F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69ACBA08" w14:textId="0A122F5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8206D6" w:rsidSect="00FA62AD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56ADF" w14:textId="77777777" w:rsidR="00EC7C4E" w:rsidRDefault="00EC7C4E" w:rsidP="00E907EE">
      <w:pPr>
        <w:spacing w:after="0" w:line="240" w:lineRule="auto"/>
      </w:pPr>
      <w:r>
        <w:separator/>
      </w:r>
    </w:p>
  </w:endnote>
  <w:endnote w:type="continuationSeparator" w:id="0">
    <w:p w14:paraId="0BE32DE7" w14:textId="77777777" w:rsidR="00EC7C4E" w:rsidRDefault="00EC7C4E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688C875F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4E48F0">
              <w:rPr>
                <w:rFonts w:ascii="Palatino Linotype" w:hAnsi="Palatino Linotype"/>
              </w:rPr>
              <w:t>REHABILITATION DU BAT 18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1121C" w14:textId="77777777" w:rsidR="00EC7C4E" w:rsidRDefault="00EC7C4E" w:rsidP="00E907EE">
      <w:pPr>
        <w:spacing w:after="0" w:line="240" w:lineRule="auto"/>
      </w:pPr>
      <w:r>
        <w:separator/>
      </w:r>
    </w:p>
  </w:footnote>
  <w:footnote w:type="continuationSeparator" w:id="0">
    <w:p w14:paraId="52797A1D" w14:textId="77777777" w:rsidR="00EC7C4E" w:rsidRDefault="00EC7C4E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0E5C4B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705896370" o:spid="_x0000_i1025" type="#_x0000_t75" style="width:14.25pt;height:14.25pt;visibility:visible;mso-wrap-style:square" o:bullet="t">
        <v:imagedata r:id="rId1" o:title=""/>
      </v:shape>
    </w:pict>
  </w:numPicBullet>
  <w:numPicBullet w:numPicBulletId="1">
    <w:pict>
      <v:shape w14:anchorId="4E26573A" id="Image 626102485" o:spid="_x0000_i102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Image 861733361" o:spid="_x0000_i1027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14E2"/>
    <w:multiLevelType w:val="hybridMultilevel"/>
    <w:tmpl w:val="A7366322"/>
    <w:lvl w:ilvl="0" w:tplc="35EA9F10">
      <w:numFmt w:val="bullet"/>
      <w:lvlText w:val="-"/>
      <w:lvlJc w:val="left"/>
      <w:pPr>
        <w:ind w:left="720" w:hanging="360"/>
      </w:pPr>
      <w:rPr>
        <w:rFonts w:ascii="Fira Sans" w:eastAsia="Calibri" w:hAnsi="Fira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AA3"/>
    <w:multiLevelType w:val="hybridMultilevel"/>
    <w:tmpl w:val="5DF85460"/>
    <w:lvl w:ilvl="0" w:tplc="238C1F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C7EC3"/>
    <w:multiLevelType w:val="hybridMultilevel"/>
    <w:tmpl w:val="8D1CD598"/>
    <w:lvl w:ilvl="0" w:tplc="040C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9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2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10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1"/>
  </w:num>
  <w:num w:numId="11" w16cid:durableId="801726455">
    <w:abstractNumId w:val="3"/>
  </w:num>
  <w:num w:numId="12" w16cid:durableId="1782721427">
    <w:abstractNumId w:val="2"/>
  </w:num>
  <w:num w:numId="13" w16cid:durableId="34351547">
    <w:abstractNumId w:val="7"/>
  </w:num>
  <w:num w:numId="14" w16cid:durableId="328101150">
    <w:abstractNumId w:val="8"/>
  </w:num>
  <w:num w:numId="15" w16cid:durableId="6277791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12D2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3612"/>
    <w:rsid w:val="0020406A"/>
    <w:rsid w:val="002448AF"/>
    <w:rsid w:val="00255273"/>
    <w:rsid w:val="00262A99"/>
    <w:rsid w:val="00264768"/>
    <w:rsid w:val="002978B3"/>
    <w:rsid w:val="002E248F"/>
    <w:rsid w:val="00341147"/>
    <w:rsid w:val="003474F5"/>
    <w:rsid w:val="00366F93"/>
    <w:rsid w:val="00396DFF"/>
    <w:rsid w:val="003B4BAB"/>
    <w:rsid w:val="003B4F53"/>
    <w:rsid w:val="00414C70"/>
    <w:rsid w:val="004156B7"/>
    <w:rsid w:val="00432E1F"/>
    <w:rsid w:val="0043785B"/>
    <w:rsid w:val="004529FC"/>
    <w:rsid w:val="00457C8B"/>
    <w:rsid w:val="00475021"/>
    <w:rsid w:val="00492C41"/>
    <w:rsid w:val="0049348A"/>
    <w:rsid w:val="004A706C"/>
    <w:rsid w:val="004C1AFE"/>
    <w:rsid w:val="004C2FF7"/>
    <w:rsid w:val="004E48F0"/>
    <w:rsid w:val="00514DEA"/>
    <w:rsid w:val="005274DE"/>
    <w:rsid w:val="005878F5"/>
    <w:rsid w:val="00592473"/>
    <w:rsid w:val="005944A2"/>
    <w:rsid w:val="005E1B40"/>
    <w:rsid w:val="0063402F"/>
    <w:rsid w:val="00653D61"/>
    <w:rsid w:val="00664B03"/>
    <w:rsid w:val="006742E5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4A11"/>
    <w:rsid w:val="00987A2D"/>
    <w:rsid w:val="00991FEF"/>
    <w:rsid w:val="009929CE"/>
    <w:rsid w:val="00992B4C"/>
    <w:rsid w:val="009B627D"/>
    <w:rsid w:val="009C212C"/>
    <w:rsid w:val="009C7604"/>
    <w:rsid w:val="009E0849"/>
    <w:rsid w:val="009F132B"/>
    <w:rsid w:val="00A048C4"/>
    <w:rsid w:val="00A17538"/>
    <w:rsid w:val="00A507D6"/>
    <w:rsid w:val="00A56701"/>
    <w:rsid w:val="00A70769"/>
    <w:rsid w:val="00A910D7"/>
    <w:rsid w:val="00AA1CD3"/>
    <w:rsid w:val="00AB38DD"/>
    <w:rsid w:val="00AD5016"/>
    <w:rsid w:val="00AE4258"/>
    <w:rsid w:val="00B04C5F"/>
    <w:rsid w:val="00B20EAF"/>
    <w:rsid w:val="00B26E48"/>
    <w:rsid w:val="00B301DF"/>
    <w:rsid w:val="00B64013"/>
    <w:rsid w:val="00B65B17"/>
    <w:rsid w:val="00B8700B"/>
    <w:rsid w:val="00BE4D77"/>
    <w:rsid w:val="00C27E74"/>
    <w:rsid w:val="00C329E7"/>
    <w:rsid w:val="00C4213E"/>
    <w:rsid w:val="00C6377B"/>
    <w:rsid w:val="00C653FF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C7C4E"/>
    <w:rsid w:val="00ED319F"/>
    <w:rsid w:val="00ED7AAB"/>
    <w:rsid w:val="00EE6036"/>
    <w:rsid w:val="00F012B2"/>
    <w:rsid w:val="00F013F0"/>
    <w:rsid w:val="00F432A0"/>
    <w:rsid w:val="00F72A6D"/>
    <w:rsid w:val="00F770A5"/>
    <w:rsid w:val="00F803E3"/>
    <w:rsid w:val="00F80E20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character" w:customStyle="1" w:styleId="Aucun">
    <w:name w:val="Aucun"/>
    <w:rsid w:val="004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1895</Words>
  <Characters>10446</Characters>
  <Application>Microsoft Office Word</Application>
  <DocSecurity>0</DocSecurity>
  <Lines>261</Lines>
  <Paragraphs>118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DOLIDON Julien</cp:lastModifiedBy>
  <cp:revision>13</cp:revision>
  <cp:lastPrinted>2025-01-29T15:17:00Z</cp:lastPrinted>
  <dcterms:created xsi:type="dcterms:W3CDTF">2025-01-29T13:48:00Z</dcterms:created>
  <dcterms:modified xsi:type="dcterms:W3CDTF">2026-01-29T16:27:00Z</dcterms:modified>
</cp:coreProperties>
</file>